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C5A" w14:textId="01F1B5B0" w:rsidR="005E2443" w:rsidRDefault="5D101B5E" w:rsidP="5DAF52B3">
      <w:pPr>
        <w:spacing w:line="276" w:lineRule="auto"/>
        <w:jc w:val="center"/>
        <w:rPr>
          <w:rFonts w:ascii="Calibri Light" w:eastAsia="Calibri Light" w:hAnsi="Calibri Light" w:cs="Calibri Light"/>
          <w:color w:val="00B0F0"/>
          <w:sz w:val="24"/>
          <w:szCs w:val="24"/>
        </w:rPr>
      </w:pPr>
      <w:r>
        <w:rPr>
          <w:noProof/>
        </w:rPr>
        <w:drawing>
          <wp:inline distT="0" distB="0" distL="0" distR="0" wp14:anchorId="636C82FB" wp14:editId="5DAF52B3">
            <wp:extent cx="2514600" cy="990600"/>
            <wp:effectExtent l="0" t="0" r="0" b="0"/>
            <wp:docPr id="1711482193" name="Imagen 1711482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F6E33" w14:textId="5037C9A8" w:rsidR="005E2443" w:rsidRDefault="005E2443" w:rsidP="5DAF52B3">
      <w:pPr>
        <w:spacing w:line="276" w:lineRule="auto"/>
        <w:jc w:val="center"/>
        <w:rPr>
          <w:rFonts w:ascii="Calibri Light" w:eastAsia="Calibri Light" w:hAnsi="Calibri Light" w:cs="Calibri Light"/>
          <w:color w:val="00B0F0"/>
          <w:sz w:val="24"/>
          <w:szCs w:val="24"/>
        </w:rPr>
      </w:pPr>
    </w:p>
    <w:p w14:paraId="72227E8A" w14:textId="61DA7261" w:rsidR="005E2443" w:rsidRDefault="5D101B5E" w:rsidP="5DAF52B3">
      <w:pPr>
        <w:spacing w:line="276" w:lineRule="auto"/>
        <w:jc w:val="center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ACTA</w:t>
      </w:r>
    </w:p>
    <w:p w14:paraId="2445E325" w14:textId="3A968BCC" w:rsidR="005E2443" w:rsidRDefault="5D101B5E" w:rsidP="5DAF52B3">
      <w:pPr>
        <w:spacing w:line="276" w:lineRule="auto"/>
        <w:jc w:val="center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SESIÓN ORDINARIA DE DIRECTORIO</w:t>
      </w:r>
    </w:p>
    <w:p w14:paraId="15183F8F" w14:textId="32518848" w:rsidR="005E2443" w:rsidRDefault="5D101B5E" w:rsidP="5DAF52B3">
      <w:pPr>
        <w:spacing w:line="276" w:lineRule="auto"/>
        <w:jc w:val="center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CAPÍTULO CHILENO DE TRANSPARENCIA INTERNACIONAL</w:t>
      </w:r>
    </w:p>
    <w:p w14:paraId="41468C2A" w14:textId="1BE6EE58" w:rsidR="005E2443" w:rsidRDefault="005E2443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0F51FB56" w14:textId="6A9F00CB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En Santiago de Chile, a </w:t>
      </w:r>
      <w:r w:rsidR="002A5A6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7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 </w:t>
      </w:r>
      <w:r w:rsidR="002A5A6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agosto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 202</w:t>
      </w:r>
      <w:r w:rsidR="00D257EE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3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, siendo las </w:t>
      </w:r>
      <w:r w:rsidR="00D257EE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1</w:t>
      </w:r>
      <w:r w:rsidR="002A5A6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3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:</w:t>
      </w:r>
      <w:r w:rsidR="002A5A6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3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0 horas,</w:t>
      </w:r>
      <w:r w:rsidR="6DEE5C98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2A5A6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en General Bustamante 26, Providencia</w:t>
      </w:r>
      <w:r w:rsidR="0078690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="00FA078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 celebra la Reunión Ordinaria De Directorio de Chile Transparente, Capítulo Chileno de Transparencia Internacional</w:t>
      </w:r>
      <w:r w:rsidR="008303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 correspondiente al presente mes</w:t>
      </w:r>
      <w:r w:rsidR="00D257EE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2A5A6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 agosto</w:t>
      </w:r>
      <w:r w:rsidR="00D257EE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2A5C0C99" w14:textId="6A2723AA" w:rsidR="005E2443" w:rsidRDefault="005E2443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4B396D4A" w14:textId="58F3759A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ASISTENTES</w:t>
      </w:r>
    </w:p>
    <w:p w14:paraId="32FEA791" w14:textId="1A3874AE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Se encuentran presentes los </w:t>
      </w:r>
      <w:proofErr w:type="gramStart"/>
      <w:r w:rsidR="008303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Directores</w:t>
      </w:r>
      <w:proofErr w:type="gramEnd"/>
      <w:r w:rsidR="0083035A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individualizados en la lista de asistencia que se adjunta a esta acta</w:t>
      </w:r>
      <w:r w:rsidR="00CC32B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8303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y 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 Directora Ejecutiva, Sra. María Jaraquemada, quien obra como secretaria de actas</w:t>
      </w:r>
      <w:r w:rsidR="007700A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además de integrantes</w:t>
      </w:r>
      <w:r w:rsidR="00EA3B7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603E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del equipo ejecutivo, en particular</w:t>
      </w:r>
      <w:r w:rsidR="00FA346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, Michel </w:t>
      </w:r>
      <w:r w:rsidR="00CB327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Figueroa</w:t>
      </w:r>
      <w:r w:rsidR="00FA346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-Director de Estudios-, y, </w:t>
      </w:r>
      <w:r w:rsidR="0063015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Nicolás Ahumada</w:t>
      </w:r>
      <w:r w:rsidR="00CB327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FA346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-</w:t>
      </w:r>
      <w:r w:rsidR="0063015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parte del equipo</w:t>
      </w:r>
      <w:r w:rsidR="00FA346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 Sector Privado-.</w:t>
      </w:r>
    </w:p>
    <w:p w14:paraId="327E8E7C" w14:textId="0AAAEF53" w:rsidR="005E2443" w:rsidRDefault="005E2443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37B06E6F" w14:textId="1E792C7D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 xml:space="preserve">FORMALIDADES DE LA CONVOCATORIA </w:t>
      </w:r>
    </w:p>
    <w:p w14:paraId="72E13769" w14:textId="7B824F48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1.- La presente sesión se lleva a efecto en </w:t>
      </w:r>
      <w:r w:rsidR="008303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 modalidad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 fecha y hora señalada en la convocatoria.</w:t>
      </w:r>
    </w:p>
    <w:p w14:paraId="45D64491" w14:textId="39AF7D3A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2.- Se reúne el quórum legal, reglamentario y estatutario para que el Directorio pueda sesionar y adoptar acuerdos válidamente. </w:t>
      </w:r>
    </w:p>
    <w:p w14:paraId="57F88EA1" w14:textId="2AB76F1A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3.- Se deja constancia que la presente acta será firmada por los </w:t>
      </w:r>
      <w:proofErr w:type="gramStart"/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Directores</w:t>
      </w:r>
      <w:proofErr w:type="gramEnd"/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asistentes.</w:t>
      </w:r>
    </w:p>
    <w:p w14:paraId="0171F390" w14:textId="1D3EB134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TABLA</w:t>
      </w:r>
    </w:p>
    <w:p w14:paraId="2062CE47" w14:textId="6075B861" w:rsidR="005E2443" w:rsidRPr="0066457C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proofErr w:type="gramStart"/>
      <w:r w:rsidRPr="0066457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Las materias a tratar</w:t>
      </w:r>
      <w:proofErr w:type="gramEnd"/>
      <w:r w:rsidRPr="0066457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en la presente sesión, de conformidad a la convocatoria, s</w:t>
      </w:r>
      <w:r w:rsidR="00077099" w:rsidRPr="0066457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66457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las siguientes:</w:t>
      </w:r>
    </w:p>
    <w:p w14:paraId="6C99AA08" w14:textId="7C534CA5" w:rsidR="00F56835" w:rsidRPr="00F56835" w:rsidRDefault="00F56835" w:rsidP="00F56835">
      <w:pPr>
        <w:numPr>
          <w:ilvl w:val="0"/>
          <w:numId w:val="10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es-CL"/>
        </w:rPr>
      </w:pPr>
      <w:r w:rsidRPr="00F56835">
        <w:rPr>
          <w:rFonts w:asciiTheme="majorHAnsi" w:eastAsiaTheme="majorEastAsia" w:hAnsiTheme="majorHAnsi" w:cstheme="majorBidi"/>
          <w:sz w:val="24"/>
          <w:szCs w:val="24"/>
          <w:lang w:val="es-CL"/>
        </w:rPr>
        <w:t>Propuesta</w:t>
      </w:r>
      <w:r w:rsidR="007D2248">
        <w:rPr>
          <w:rFonts w:asciiTheme="majorHAnsi" w:eastAsiaTheme="majorEastAsia" w:hAnsiTheme="majorHAnsi" w:cstheme="majorBidi"/>
          <w:sz w:val="24"/>
          <w:szCs w:val="24"/>
          <w:lang w:val="es-CL"/>
        </w:rPr>
        <w:t xml:space="preserve"> de </w:t>
      </w:r>
      <w:r w:rsidRPr="00F56835">
        <w:rPr>
          <w:rFonts w:asciiTheme="majorHAnsi" w:eastAsiaTheme="majorEastAsia" w:hAnsiTheme="majorHAnsi" w:cstheme="majorBidi"/>
          <w:sz w:val="24"/>
          <w:szCs w:val="24"/>
          <w:lang w:val="es-CL"/>
        </w:rPr>
        <w:t xml:space="preserve"> transparencia</w:t>
      </w:r>
      <w:r w:rsidR="007D2248">
        <w:rPr>
          <w:rFonts w:asciiTheme="majorHAnsi" w:eastAsiaTheme="majorEastAsia" w:hAnsiTheme="majorHAnsi" w:cstheme="majorBidi"/>
          <w:sz w:val="24"/>
          <w:szCs w:val="24"/>
          <w:lang w:val="es-CL"/>
        </w:rPr>
        <w:t xml:space="preserve"> para</w:t>
      </w:r>
      <w:r w:rsidRPr="00F56835">
        <w:rPr>
          <w:rFonts w:asciiTheme="majorHAnsi" w:eastAsiaTheme="majorEastAsia" w:hAnsiTheme="majorHAnsi" w:cstheme="majorBidi"/>
          <w:sz w:val="24"/>
          <w:szCs w:val="24"/>
          <w:lang w:val="es-CL"/>
        </w:rPr>
        <w:t xml:space="preserve"> O</w:t>
      </w:r>
      <w:r w:rsidR="007D2248">
        <w:rPr>
          <w:rFonts w:asciiTheme="majorHAnsi" w:eastAsiaTheme="majorEastAsia" w:hAnsiTheme="majorHAnsi" w:cstheme="majorBidi"/>
          <w:sz w:val="24"/>
          <w:szCs w:val="24"/>
          <w:lang w:val="es-CL"/>
        </w:rPr>
        <w:t xml:space="preserve">rganizaciones </w:t>
      </w:r>
      <w:r w:rsidRPr="00F56835">
        <w:rPr>
          <w:rFonts w:asciiTheme="majorHAnsi" w:eastAsiaTheme="majorEastAsia" w:hAnsiTheme="majorHAnsi" w:cstheme="majorBidi"/>
          <w:sz w:val="24"/>
          <w:szCs w:val="24"/>
          <w:lang w:val="es-CL"/>
        </w:rPr>
        <w:t>S</w:t>
      </w:r>
      <w:r w:rsidR="007D2248">
        <w:rPr>
          <w:rFonts w:asciiTheme="majorHAnsi" w:eastAsiaTheme="majorEastAsia" w:hAnsiTheme="majorHAnsi" w:cstheme="majorBidi"/>
          <w:sz w:val="24"/>
          <w:szCs w:val="24"/>
          <w:lang w:val="es-CL"/>
        </w:rPr>
        <w:t xml:space="preserve">in </w:t>
      </w:r>
      <w:r w:rsidRPr="00F56835">
        <w:rPr>
          <w:rFonts w:asciiTheme="majorHAnsi" w:eastAsiaTheme="majorEastAsia" w:hAnsiTheme="majorHAnsi" w:cstheme="majorBidi"/>
          <w:sz w:val="24"/>
          <w:szCs w:val="24"/>
          <w:lang w:val="es-CL"/>
        </w:rPr>
        <w:t>F</w:t>
      </w:r>
      <w:r w:rsidR="007D2248">
        <w:rPr>
          <w:rFonts w:asciiTheme="majorHAnsi" w:eastAsiaTheme="majorEastAsia" w:hAnsiTheme="majorHAnsi" w:cstheme="majorBidi"/>
          <w:sz w:val="24"/>
          <w:szCs w:val="24"/>
          <w:lang w:val="es-CL"/>
        </w:rPr>
        <w:t xml:space="preserve">ines de </w:t>
      </w:r>
      <w:r w:rsidRPr="00F56835">
        <w:rPr>
          <w:rFonts w:asciiTheme="majorHAnsi" w:eastAsiaTheme="majorEastAsia" w:hAnsiTheme="majorHAnsi" w:cstheme="majorBidi"/>
          <w:sz w:val="24"/>
          <w:szCs w:val="24"/>
          <w:lang w:val="es-CL"/>
        </w:rPr>
        <w:t>L</w:t>
      </w:r>
      <w:r w:rsidR="007D2248">
        <w:rPr>
          <w:rFonts w:asciiTheme="majorHAnsi" w:eastAsiaTheme="majorEastAsia" w:hAnsiTheme="majorHAnsi" w:cstheme="majorBidi"/>
          <w:sz w:val="24"/>
          <w:szCs w:val="24"/>
          <w:lang w:val="es-CL"/>
        </w:rPr>
        <w:t>ucro</w:t>
      </w:r>
    </w:p>
    <w:p w14:paraId="5E1CD989" w14:textId="661F352D" w:rsidR="00F56835" w:rsidRPr="00F56835" w:rsidRDefault="007D2248" w:rsidP="00F56835">
      <w:pPr>
        <w:numPr>
          <w:ilvl w:val="0"/>
          <w:numId w:val="10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es-CL"/>
        </w:rPr>
      </w:pPr>
      <w:r>
        <w:rPr>
          <w:rFonts w:asciiTheme="majorHAnsi" w:eastAsiaTheme="majorEastAsia" w:hAnsiTheme="majorHAnsi" w:cstheme="majorBidi"/>
          <w:sz w:val="24"/>
          <w:szCs w:val="24"/>
          <w:lang w:val="es-CL"/>
        </w:rPr>
        <w:t xml:space="preserve">Propuesta de </w:t>
      </w:r>
      <w:r w:rsidR="00F56835" w:rsidRPr="00F56835">
        <w:rPr>
          <w:rFonts w:asciiTheme="majorHAnsi" w:eastAsiaTheme="majorEastAsia" w:hAnsiTheme="majorHAnsi" w:cstheme="majorBidi"/>
          <w:sz w:val="24"/>
          <w:szCs w:val="24"/>
          <w:lang w:val="es-CL"/>
        </w:rPr>
        <w:t>Foro de Integridad Empresarial</w:t>
      </w:r>
    </w:p>
    <w:p w14:paraId="13D23483" w14:textId="77777777" w:rsidR="00F56835" w:rsidRPr="00F56835" w:rsidRDefault="00F56835" w:rsidP="00F56835">
      <w:pPr>
        <w:numPr>
          <w:ilvl w:val="0"/>
          <w:numId w:val="10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es-CL"/>
        </w:rPr>
      </w:pPr>
      <w:r w:rsidRPr="00F56835">
        <w:rPr>
          <w:rFonts w:asciiTheme="majorHAnsi" w:eastAsiaTheme="majorEastAsia" w:hAnsiTheme="majorHAnsi" w:cstheme="majorBidi"/>
          <w:sz w:val="24"/>
          <w:szCs w:val="24"/>
          <w:lang w:val="es-CL"/>
        </w:rPr>
        <w:t>Indicadores financieros y auditoría EEFF</w:t>
      </w:r>
    </w:p>
    <w:p w14:paraId="023553F8" w14:textId="77777777" w:rsidR="00F56835" w:rsidRPr="00F56835" w:rsidRDefault="00F56835" w:rsidP="00F56835">
      <w:pPr>
        <w:numPr>
          <w:ilvl w:val="0"/>
          <w:numId w:val="10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es-CL"/>
        </w:rPr>
      </w:pPr>
      <w:r w:rsidRPr="00F56835">
        <w:rPr>
          <w:rFonts w:asciiTheme="majorHAnsi" w:eastAsiaTheme="majorEastAsia" w:hAnsiTheme="majorHAnsi" w:cstheme="majorBidi"/>
          <w:sz w:val="24"/>
          <w:szCs w:val="24"/>
          <w:lang w:val="es-CL"/>
        </w:rPr>
        <w:lastRenderedPageBreak/>
        <w:t>Varios</w:t>
      </w:r>
    </w:p>
    <w:p w14:paraId="02B1EBDA" w14:textId="291B33F3" w:rsidR="005E2443" w:rsidRPr="006C6E8B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DESARROLLO</w:t>
      </w:r>
    </w:p>
    <w:p w14:paraId="79E85D9F" w14:textId="59BD9EBD" w:rsidR="00CE6AC5" w:rsidRDefault="00CE6AC5" w:rsidP="00CE6AC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 Light" w:eastAsia="Calibri Light" w:hAnsi="Calibri Light" w:cs="Calibri Light"/>
          <w:b/>
          <w:bCs/>
          <w:i/>
          <w:iCs/>
          <w:color w:val="67ABDF"/>
          <w:sz w:val="24"/>
          <w:szCs w:val="24"/>
        </w:rPr>
      </w:pPr>
      <w:r w:rsidRPr="00CE6AC5">
        <w:rPr>
          <w:rFonts w:ascii="Calibri Light" w:eastAsia="Calibri Light" w:hAnsi="Calibri Light" w:cs="Calibri Light"/>
          <w:b/>
          <w:bCs/>
          <w:i/>
          <w:iCs/>
          <w:color w:val="67ABDF"/>
          <w:sz w:val="24"/>
          <w:szCs w:val="24"/>
        </w:rPr>
        <w:t>Aprobación acta</w:t>
      </w:r>
    </w:p>
    <w:p w14:paraId="225ADC82" w14:textId="11FC705D" w:rsidR="009718E7" w:rsidRPr="009718E7" w:rsidRDefault="009718E7" w:rsidP="009718E7">
      <w:pPr>
        <w:spacing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9718E7">
        <w:rPr>
          <w:rFonts w:ascii="Calibri Light" w:eastAsia="Calibri Light" w:hAnsi="Calibri Light" w:cs="Calibri Light"/>
          <w:sz w:val="24"/>
          <w:szCs w:val="24"/>
        </w:rPr>
        <w:t>Se procede a</w:t>
      </w:r>
      <w:r w:rsidR="00264AB5">
        <w:rPr>
          <w:rFonts w:ascii="Calibri Light" w:eastAsia="Calibri Light" w:hAnsi="Calibri Light" w:cs="Calibri Light"/>
          <w:sz w:val="24"/>
          <w:szCs w:val="24"/>
        </w:rPr>
        <w:t xml:space="preserve"> dar cuenta de los acuerdos de la sesión anterior y de los avances de éstos. Se procede a</w:t>
      </w:r>
      <w:r w:rsidRPr="009718E7">
        <w:rPr>
          <w:rFonts w:ascii="Calibri Light" w:eastAsia="Calibri Light" w:hAnsi="Calibri Light" w:cs="Calibri Light"/>
          <w:sz w:val="24"/>
          <w:szCs w:val="24"/>
        </w:rPr>
        <w:t xml:space="preserve"> aprobar el acta</w:t>
      </w:r>
      <w:r w:rsidR="00BD1E76">
        <w:rPr>
          <w:rFonts w:ascii="Calibri Light" w:eastAsia="Calibri Light" w:hAnsi="Calibri Light" w:cs="Calibri Light"/>
          <w:sz w:val="24"/>
          <w:szCs w:val="24"/>
        </w:rPr>
        <w:t xml:space="preserve"> de la sesión pasada</w:t>
      </w:r>
      <w:r w:rsidR="00264AB5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Pr="009718E7">
        <w:rPr>
          <w:rFonts w:ascii="Calibri Light" w:eastAsia="Calibri Light" w:hAnsi="Calibri Light" w:cs="Calibri Light"/>
          <w:sz w:val="24"/>
          <w:szCs w:val="24"/>
        </w:rPr>
        <w:t>por unanimidad de los presentes</w:t>
      </w:r>
      <w:r w:rsidR="00264AB5">
        <w:rPr>
          <w:rFonts w:ascii="Calibri Light" w:eastAsia="Calibri Light" w:hAnsi="Calibri Light" w:cs="Calibri Light"/>
          <w:sz w:val="24"/>
          <w:szCs w:val="24"/>
        </w:rPr>
        <w:t>.</w:t>
      </w:r>
    </w:p>
    <w:p w14:paraId="2ED35752" w14:textId="77777777" w:rsidR="00F56835" w:rsidRPr="00F56835" w:rsidRDefault="00F56835" w:rsidP="00B668E6">
      <w:pPr>
        <w:numPr>
          <w:ilvl w:val="0"/>
          <w:numId w:val="2"/>
        </w:numPr>
        <w:spacing w:line="276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color w:val="00B0F0"/>
          <w:sz w:val="24"/>
          <w:szCs w:val="24"/>
          <w:lang w:val="es-CL"/>
        </w:rPr>
      </w:pPr>
      <w:r w:rsidRPr="00F56835">
        <w:rPr>
          <w:rFonts w:asciiTheme="majorHAnsi" w:eastAsiaTheme="majorEastAsia" w:hAnsiTheme="majorHAnsi" w:cstheme="majorBidi"/>
          <w:b/>
          <w:bCs/>
          <w:i/>
          <w:iCs/>
          <w:color w:val="00B0F0"/>
          <w:sz w:val="24"/>
          <w:szCs w:val="24"/>
          <w:lang w:val="es-CL"/>
        </w:rPr>
        <w:t>Indicadores financieros y auditoría EEFF</w:t>
      </w:r>
    </w:p>
    <w:p w14:paraId="322FE241" w14:textId="77777777" w:rsidR="001F25EE" w:rsidRDefault="001F25EE" w:rsidP="00334E16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411E162C" w14:textId="54F6D871" w:rsidR="00D749D4" w:rsidRDefault="00A34158" w:rsidP="002D4500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Directora Ejecutiva</w:t>
      </w:r>
      <w:proofErr w:type="gramEnd"/>
      <w:r w:rsidR="00246BA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2D450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presenta </w:t>
      </w:r>
      <w:r w:rsidR="004A5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el informe de ingresos y gastos actualizado hasta el mes de junio. La señora </w:t>
      </w:r>
      <w:proofErr w:type="spellStart"/>
      <w:r w:rsidR="004A5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Holuigue</w:t>
      </w:r>
      <w:proofErr w:type="spellEnd"/>
      <w:r w:rsidR="004A5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indica que se requiere avanzar en desarrollar el presupuesto tentativo hasta abril del 2024 para </w:t>
      </w:r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proyectar </w:t>
      </w:r>
      <w:r w:rsidR="004A5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situación real y luego tomar decisiones sobre </w:t>
      </w:r>
      <w:r w:rsidR="00D6480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</w:t>
      </w:r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base de los posibles escenarios que podría experimentar el</w:t>
      </w:r>
      <w:r w:rsidR="00D6480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Capítulo, </w:t>
      </w:r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 modo de</w:t>
      </w:r>
      <w:r w:rsidR="00D6480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contar con un plan de acción frente a un eventual déficit de </w:t>
      </w:r>
      <w:r w:rsidR="00D6480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recursos para el siguiente año</w:t>
      </w:r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que pudiera provocar un riesgo de financiamiento de la operación</w:t>
      </w:r>
      <w:r w:rsidR="00D6480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. </w:t>
      </w:r>
    </w:p>
    <w:p w14:paraId="223DFF74" w14:textId="61FF0BDE" w:rsidR="00D64807" w:rsidRDefault="00D64807" w:rsidP="002D4500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 señora Cuevas indica que los primeros meses suelen ser meses estacionalmente bajos, lo que debe considerarse</w:t>
      </w:r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en dicha proyección y evaluación de escenarios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. También consulta sobre el pago de las cuotas sociales lo que es informado por la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Directora Ejecutiva</w:t>
      </w:r>
      <w:proofErr w:type="gramEnd"/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 e</w:t>
      </w:r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 base a los datos disponibles hasta la fecha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La señora </w:t>
      </w:r>
      <w:proofErr w:type="spell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Holuigue</w:t>
      </w:r>
      <w:proofErr w:type="spell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indica que hay que insistir en el pago de </w:t>
      </w:r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las cuotas sociales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 a pesar</w:t>
      </w:r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que no incide mayormente en la situación financiera.</w:t>
      </w:r>
    </w:p>
    <w:p w14:paraId="1A86C52F" w14:textId="664C043F" w:rsidR="00AB5C72" w:rsidRDefault="00AB5C72" w:rsidP="002D4500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El señor Ferrada señala que dada la situación </w:t>
      </w:r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financiera expuesta por la </w:t>
      </w:r>
      <w:proofErr w:type="gramStart"/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Directora Ejecutiva</w:t>
      </w:r>
      <w:proofErr w:type="gramEnd"/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y la necesidad de levantar nuevos recursos </w:t>
      </w:r>
      <w:r w:rsidR="00FC772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 hace más ne</w:t>
      </w:r>
      <w:r w:rsidR="002704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c</w:t>
      </w:r>
      <w:r w:rsidR="00FC772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esario dar luz verde a los proyectos </w:t>
      </w:r>
      <w:r w:rsidR="002704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enviados por el equipo para postular a nuevos fondos. La señora Cuevas precisa que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="002704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entendiendo la situación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se debe mitigar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al máximo</w:t>
      </w:r>
      <w:r w:rsidR="002704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el riesgo de </w:t>
      </w:r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abordar</w:t>
      </w:r>
      <w:r w:rsidR="002704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proyecto</w:t>
      </w:r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="002704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855C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que no se enmarquen en la estrategia </w:t>
      </w:r>
      <w:r w:rsidR="00952B1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 que no generen valor para la organización.</w:t>
      </w:r>
    </w:p>
    <w:p w14:paraId="7EC233F6" w14:textId="6BAB7735" w:rsidR="00831E4E" w:rsidRDefault="00831E4E" w:rsidP="002D4500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señora </w:t>
      </w:r>
      <w:proofErr w:type="spell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Holuigue</w:t>
      </w:r>
      <w:proofErr w:type="spell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indica que es necesario tomar decisiones respe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to a qué ocurre en el peor escenario </w:t>
      </w:r>
      <w:r w:rsidR="004F7F49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 para eso es clave analizar los números por proyecto</w:t>
      </w:r>
      <w:r w:rsidR="009C2AA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, así como los gastos y costos directos. </w:t>
      </w:r>
      <w:r w:rsidR="0075023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Solicita información sobre el número de personas que trabajan en la organización y bajo qué vínculos.</w:t>
      </w:r>
    </w:p>
    <w:p w14:paraId="453E4D5C" w14:textId="0A433AB8" w:rsidR="00750231" w:rsidRDefault="00750231" w:rsidP="002D4500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El señor D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é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lano cree que es clave </w:t>
      </w:r>
      <w:r w:rsidR="00233E2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tener una estructura fija mínima y otra flexible </w:t>
      </w:r>
      <w:proofErr w:type="gramStart"/>
      <w:r w:rsidR="00233E2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 acuerdo a</w:t>
      </w:r>
      <w:proofErr w:type="gramEnd"/>
      <w:r w:rsidR="00233E2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los proyectos. La </w:t>
      </w:r>
      <w:proofErr w:type="gramStart"/>
      <w:r w:rsidR="00233E2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Directora Ejecutiva</w:t>
      </w:r>
      <w:proofErr w:type="gramEnd"/>
      <w:r w:rsidR="00233E2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explica que esa es la situación actual.</w:t>
      </w:r>
      <w:r w:rsidR="00AE612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El señor D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é</w:t>
      </w:r>
      <w:r w:rsidR="00AE612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lano explica qué ocurrió en situaciones previas de </w:t>
      </w:r>
      <w:r w:rsidR="00D1345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restricciones presupuestarias y propone que se prepare una presentación breve de quiénes somos y qué hacemos para que el Directorio pueda pedir donaciones, como se ha hecho antes. El </w:t>
      </w:r>
      <w:proofErr w:type="gramStart"/>
      <w:r w:rsidR="00D1345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</w:t>
      </w:r>
      <w:proofErr w:type="gramEnd"/>
      <w:r w:rsidR="00D1345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 Estudios explica 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brevemente</w:t>
      </w:r>
      <w:r w:rsidR="00D1345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cual ha sido </w:t>
      </w:r>
      <w:r w:rsidR="00D1345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 política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del Capítulo en materia</w:t>
      </w:r>
      <w:r w:rsidR="00D1345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 donaciones.</w:t>
      </w:r>
    </w:p>
    <w:p w14:paraId="6E6DB891" w14:textId="0C7390E7" w:rsidR="00FB3B7A" w:rsidRDefault="00FB3B7A" w:rsidP="002D4500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Así mismo se muestran las cifras de la auditoría de los estados financieros del 2022, los que son aprobados por el Directorio y deberán ser sometidos a aprobación de la Asamblea.</w:t>
      </w:r>
    </w:p>
    <w:p w14:paraId="09FF6A20" w14:textId="10C634FC" w:rsidR="00FB3B7A" w:rsidRDefault="00FB3B7A" w:rsidP="002D4500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Sobre la citación a la próxima Asamblea de Socias y Socios, se indica por la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Directora Ejecutiva</w:t>
      </w:r>
      <w:proofErr w:type="gram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que según estatutos debe realizarse entre enero y julio una vez están los estados auditados</w:t>
      </w:r>
      <w:r w:rsidR="00857D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y </w:t>
      </w:r>
      <w:r w:rsidR="00857DF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lastRenderedPageBreak/>
        <w:t>realizar también una sesión extraordinaria con Notario/a para la modificación de estatutos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. La Presidenta propone que se </w:t>
      </w:r>
      <w:r w:rsidR="00C15FB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fije fecha en la próxima sesión.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5786F1A4" w14:textId="50304D74" w:rsidR="00B42138" w:rsidRDefault="00B42138" w:rsidP="002D4500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continuación</w:t>
      </w:r>
      <w:proofErr w:type="gram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la Directora Ejecutiva presenta dos propuestas de proyectos, ya analizados por el Comité Financiero. Un convenio de trabajo con la Cámara de Innovación Farmacéutica y la postulación como socio implementador en Chile de CIPE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,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un proyecto de </w:t>
      </w:r>
      <w:proofErr w:type="spellStart"/>
      <w: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Investment</w:t>
      </w:r>
      <w:proofErr w:type="spellEnd"/>
      <w: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Screening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del Departamento de Estado de Estados Unidos. La señora </w:t>
      </w:r>
      <w:proofErr w:type="spell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Holuigue</w:t>
      </w:r>
      <w:proofErr w:type="spell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solicita más información sobre el rol concreto de Chile Transparente</w:t>
      </w:r>
      <w:r w:rsidR="00943D3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, la </w:t>
      </w:r>
      <w:proofErr w:type="gramStart"/>
      <w:r w:rsidR="00943D3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Directora Ejecutiva</w:t>
      </w:r>
      <w:proofErr w:type="gramEnd"/>
      <w:r w:rsidR="00943D3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explica en detalle las actividades previstas junto con el presupuesto tentativo asociado. </w:t>
      </w:r>
    </w:p>
    <w:p w14:paraId="1BCB3B06" w14:textId="0BF20413" w:rsidR="00943D3C" w:rsidRPr="00B42138" w:rsidRDefault="00943D3C" w:rsidP="002D4500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 aprueban ambos proyectos por el Directorio.</w:t>
      </w:r>
    </w:p>
    <w:p w14:paraId="6F35ABCD" w14:textId="7D2BBE43" w:rsidR="009E7409" w:rsidRPr="009E7409" w:rsidRDefault="009E7409" w:rsidP="002D4500">
      <w:pPr>
        <w:jc w:val="both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Se </w:t>
      </w:r>
      <w:r w:rsidR="006A519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aprueban los Estados Financieros 2022 y </w:t>
      </w:r>
      <w:proofErr w:type="gramStart"/>
      <w:r w:rsidR="006A519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se  </w:t>
      </w:r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acuerda</w:t>
      </w:r>
      <w:proofErr w:type="gramEnd"/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para el próximo Directorio aportar información sobre la proyección financiera hasta el primer trimestre del 2024.</w:t>
      </w:r>
    </w:p>
    <w:p w14:paraId="3169E1A5" w14:textId="77777777" w:rsidR="00C81CFB" w:rsidRDefault="00C81CFB" w:rsidP="00CF6488">
      <w:pPr>
        <w:jc w:val="both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00B7F6F1" w14:textId="055D9773" w:rsidR="00F56835" w:rsidRPr="00F56835" w:rsidRDefault="00B30C0C" w:rsidP="00B30C0C">
      <w:pPr>
        <w:numPr>
          <w:ilvl w:val="0"/>
          <w:numId w:val="2"/>
        </w:numPr>
        <w:spacing w:line="276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color w:val="00B0F0"/>
          <w:sz w:val="24"/>
          <w:szCs w:val="24"/>
          <w:lang w:val="es-CL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00B0F0"/>
          <w:sz w:val="24"/>
          <w:szCs w:val="24"/>
          <w:lang w:val="es-CL"/>
        </w:rPr>
        <w:t>Estándares de transparencia para OSFL</w:t>
      </w:r>
    </w:p>
    <w:p w14:paraId="669A4757" w14:textId="5755E1E1" w:rsidR="00C81CFB" w:rsidRDefault="00A7116E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Presidenta</w:t>
      </w:r>
      <w:proofErr w:type="gram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señala que, en base al trabajo del 2012, se trabajó una nueva propuesta de estándares de transparencia para OSFL y que éstos serán enviados en una carta </w:t>
      </w:r>
      <w:r w:rsidR="00B01D1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firmada por ella al Presidente de la República, con copia al Ministro Secretario General de la Presidencia y 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 </w:t>
      </w:r>
      <w:r w:rsidR="00B01D1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 Presidenta de la Comisión Asesora en la materia.</w:t>
      </w:r>
    </w:p>
    <w:p w14:paraId="2C0B4459" w14:textId="7B02D4EF" w:rsidR="00B01D1D" w:rsidRDefault="00C77D28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El señor Ferrada cree que una opción es que se habilite una sección en el Portal de Transparencia del Consejo para la Transparencia para que estas entidades puedan publicar su información. </w:t>
      </w:r>
    </w:p>
    <w:p w14:paraId="11027116" w14:textId="4D9C761B" w:rsidR="00C77D28" w:rsidRDefault="00C77D28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señora Cuevas indica que le preocupa que estos estándares sólo se hacen cargo de estas instituciones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privadas</w:t>
      </w:r>
      <w:proofErr w:type="gram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pero no del fortalecimiento necesario del Estado. </w:t>
      </w:r>
    </w:p>
    <w:p w14:paraId="18429115" w14:textId="25477B08" w:rsidR="002631B5" w:rsidRDefault="002631B5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señora </w:t>
      </w:r>
      <w:proofErr w:type="spell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Holuigue</w:t>
      </w:r>
      <w:proofErr w:type="spell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indica que se debiera aunar criterios</w:t>
      </w:r>
      <w:r w:rsidR="000E4E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y que cree que la Comisión Asesora no debiera restringirse a solo hacer propuestas de políticas públicas y no decir nada sobre los hechos de corrupción.</w:t>
      </w:r>
    </w:p>
    <w:p w14:paraId="54BE02C6" w14:textId="064A751D" w:rsidR="000E4EDF" w:rsidRDefault="000E4EDF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señora </w:t>
      </w:r>
      <w:proofErr w:type="spell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Agnic</w:t>
      </w:r>
      <w:proofErr w:type="spell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indica que cree se debe ser cuidadosa con </w:t>
      </w:r>
      <w:r w:rsidR="00362D0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pronunciarse sobre investigaciones pendientes en términos de comisión de delitos, 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tal como</w:t>
      </w:r>
      <w:r w:rsidR="00362D0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se ha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procedido</w:t>
      </w:r>
      <w:r w:rsidR="00362D0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en otros casos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por el Capítulo</w:t>
      </w:r>
      <w:r w:rsidR="00362D0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ya que son los tribunales los que decretan la culpabilidad. </w:t>
      </w:r>
    </w:p>
    <w:p w14:paraId="324BAC14" w14:textId="48BA3B68" w:rsidR="00F27E3C" w:rsidRDefault="00F27E3C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El señor Ferrada cree que, en la línea de la carta enviada al periódico 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por el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señor </w:t>
      </w:r>
      <w:proofErr w:type="spell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Rajevic</w:t>
      </w:r>
      <w:proofErr w:type="spell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, se puede avanzar también en 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propuestas en materias tales como la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auditoría interna y </w:t>
      </w:r>
      <w:r w:rsidR="00735AF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empleo público. Esto es refrendado por el </w:t>
      </w:r>
      <w:proofErr w:type="spellStart"/>
      <w:r w:rsidR="00735AF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Rajevic</w:t>
      </w:r>
      <w:proofErr w:type="spellEnd"/>
      <w:r w:rsidR="00735AF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en cuanto al funcionamiento del CAIG</w:t>
      </w:r>
      <w:r w:rsidR="0063630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y cree que hay que ser cuidadosos de no entrar a las discusiones políticas 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coyunturales ya</w:t>
      </w:r>
      <w:r w:rsidR="0063630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que no es el rol de Chile Transparente. </w:t>
      </w:r>
      <w:r w:rsidR="008A2E7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El señor Ferrada indica que también puede haber 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propuestas para el </w:t>
      </w:r>
      <w:r w:rsidR="008A2E7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fortalecimiento del actuar de Contraloría, que parece no haber detectado a tiempo</w:t>
      </w:r>
      <w:r w:rsidR="006A519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las irregularidades </w:t>
      </w:r>
      <w:r w:rsidR="00F83B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denunciadas</w:t>
      </w:r>
      <w:r w:rsidR="008A2E7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y en mayor transparencia de cómo se ejecutan los recursos públicos</w:t>
      </w:r>
      <w:r w:rsidR="00F83B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="008A2E7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pero también de cómo se toman las decisiones. </w:t>
      </w:r>
      <w:r w:rsidR="00BC138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Para esto es clave </w:t>
      </w:r>
      <w:r w:rsidR="00F83B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revisar los </w:t>
      </w:r>
      <w:r w:rsidR="00BC138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incentivo</w:t>
      </w:r>
      <w:r w:rsidR="00F83B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 presentes en la gestión de recursos públicos</w:t>
      </w:r>
      <w:r w:rsidR="00BC138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F83B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particularmente en materia de ejecución presupuestari</w:t>
      </w:r>
      <w:r w:rsidR="00BC490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a.</w:t>
      </w:r>
      <w:r w:rsidR="00BC138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7F74A5CC" w14:textId="77777777" w:rsidR="00F83B3B" w:rsidRDefault="00BC138D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lastRenderedPageBreak/>
        <w:t xml:space="preserve">El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</w:t>
      </w:r>
      <w:proofErr w:type="gram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 Estudios indica que el equipo estaba comenzando a trabajar sobre un documento de diagnóstico realizado el año 2019, para poder actualizarlo</w:t>
      </w:r>
      <w:r w:rsidR="00E0345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. </w:t>
      </w:r>
    </w:p>
    <w:p w14:paraId="333599CE" w14:textId="5D96DBA1" w:rsidR="00BC138D" w:rsidRPr="00BC4906" w:rsidRDefault="00E03456" w:rsidP="00CF6488">
      <w:pPr>
        <w:jc w:val="both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BC4906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Se acuerda que se enviará al Directorio para que este envíe sus comentarios y apreciaciones dentro de una semana. </w:t>
      </w:r>
    </w:p>
    <w:p w14:paraId="533DE0C8" w14:textId="0AB55139" w:rsidR="00976C7C" w:rsidRDefault="00976C7C" w:rsidP="000E053B">
      <w:pPr>
        <w:numPr>
          <w:ilvl w:val="0"/>
          <w:numId w:val="2"/>
        </w:numPr>
        <w:spacing w:line="276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color w:val="00B0F0"/>
          <w:sz w:val="24"/>
          <w:szCs w:val="24"/>
          <w:lang w:val="es-CL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00B0F0"/>
          <w:sz w:val="24"/>
          <w:szCs w:val="24"/>
          <w:lang w:val="es-CL"/>
        </w:rPr>
        <w:t>Foro de Integridad Empresarial</w:t>
      </w:r>
    </w:p>
    <w:p w14:paraId="098DD23D" w14:textId="7EB90245" w:rsidR="005A6183" w:rsidRDefault="005A6183" w:rsidP="005A6183">
      <w:p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s-CL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s-CL"/>
        </w:rPr>
        <w:t>Se conversa brevemente sobre la nueva propuesta del Foro de Integridad Empresarial</w:t>
      </w:r>
      <w:r w:rsidR="00FC4724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s-CL"/>
        </w:rPr>
        <w:t xml:space="preserve">, trabajada en conjunto con el señor Ferrada. La señora Cuevas plantea dudas sobre su viabilidad y las actividades concretas qué implicaría. La señora </w:t>
      </w:r>
      <w:proofErr w:type="spellStart"/>
      <w:r w:rsidR="00FC4724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s-CL"/>
        </w:rPr>
        <w:t>Holuigue</w:t>
      </w:r>
      <w:proofErr w:type="spellEnd"/>
      <w:r w:rsidR="00FC4724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s-CL"/>
        </w:rPr>
        <w:t xml:space="preserve"> </w:t>
      </w:r>
      <w:r w:rsidR="008E5C63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s-CL"/>
        </w:rPr>
        <w:t xml:space="preserve">cree que hay que revisar bien las cifras, tal como cuántas empresas concretas estarían interesadas y el esfuerzo que implicaría. El señor Ferrada atiende estas dudas y explica el origen y </w:t>
      </w:r>
      <w:r w:rsidR="00CD28E9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s-CL"/>
        </w:rPr>
        <w:t xml:space="preserve">trayectoria de esta propuesta. </w:t>
      </w:r>
    </w:p>
    <w:p w14:paraId="7BDC8589" w14:textId="1430692E" w:rsidR="00CD28E9" w:rsidRPr="00CD28E9" w:rsidRDefault="00CD28E9" w:rsidP="005A6183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s-CL"/>
        </w:rPr>
      </w:pPr>
      <w:r w:rsidRPr="00CD28E9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s-CL"/>
        </w:rPr>
        <w:t>Se acuerda que será revisado previamente por el Comité Financiero antes de</w:t>
      </w:r>
      <w:r w:rsidR="00F83B3B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s-CL"/>
        </w:rPr>
        <w:t xml:space="preserve"> </w:t>
      </w:r>
      <w:r w:rsidRPr="00CD28E9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s-CL"/>
        </w:rPr>
        <w:t>volver a Directorio.</w:t>
      </w:r>
    </w:p>
    <w:p w14:paraId="01D19C7D" w14:textId="321E660D" w:rsidR="00F56835" w:rsidRPr="00F56835" w:rsidRDefault="000E053B" w:rsidP="000E053B">
      <w:pPr>
        <w:numPr>
          <w:ilvl w:val="0"/>
          <w:numId w:val="2"/>
        </w:numPr>
        <w:spacing w:line="276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color w:val="00B0F0"/>
          <w:sz w:val="24"/>
          <w:szCs w:val="24"/>
          <w:lang w:val="es-CL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00B0F0"/>
          <w:sz w:val="24"/>
          <w:szCs w:val="24"/>
          <w:lang w:val="es-CL"/>
        </w:rPr>
        <w:t>Varios</w:t>
      </w:r>
    </w:p>
    <w:p w14:paraId="793B1977" w14:textId="0ADC97E3" w:rsidR="000E053B" w:rsidRDefault="003868CC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Presidenta</w:t>
      </w:r>
      <w:proofErr w:type="gram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indica que es clave mantener el sitio web actualizado</w:t>
      </w:r>
      <w:r w:rsidR="00736E1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y actualizar las declaraciones de intereses. Se analiza la posibilidad de realizar declaraciones más completas que las actuales, para subir el estándar. </w:t>
      </w:r>
    </w:p>
    <w:p w14:paraId="6886558B" w14:textId="43EF7999" w:rsidR="0033177F" w:rsidRDefault="0033177F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Así mismo se solicita que el Comité ALAC reporte su trabajo en la próxima sesión. </w:t>
      </w:r>
    </w:p>
    <w:p w14:paraId="72F18FE5" w14:textId="2B85D961" w:rsidR="00BC4906" w:rsidRDefault="0033177F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Directora Ejecutiva</w:t>
      </w:r>
      <w:proofErr w:type="gram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expone sobre tres posibles viajes del equipo, se explica el origen del financiamiento de cada uno y sus objetivos</w:t>
      </w:r>
      <w:r w:rsidR="00BC490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 como se indica a continuación:</w:t>
      </w:r>
    </w:p>
    <w:p w14:paraId="7FA20C58" w14:textId="77777777" w:rsidR="00BC4906" w:rsidRDefault="00BC4906" w:rsidP="00BC4906">
      <w:pPr>
        <w:pStyle w:val="Prrafodelista"/>
        <w:numPr>
          <w:ilvl w:val="0"/>
          <w:numId w:val="14"/>
        </w:num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BC490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Cumbre global de la Alianza de Gobierno Abierto (OGP): Michel Figueroa viajar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ía</w:t>
      </w:r>
      <w:r w:rsidRPr="00BC490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del 2 al 9 de septiembre a Tallin, Estonia como representante de la sociedad civil de la Mesa de Gobierno Abierto. Esto es todo financiado por la misma Alianza y está prevista su participación en reuniones y paneles.</w:t>
      </w:r>
    </w:p>
    <w:p w14:paraId="1C49B71A" w14:textId="77777777" w:rsidR="00BC4906" w:rsidRDefault="00BC4906" w:rsidP="00BC4906">
      <w:pPr>
        <w:pStyle w:val="Prrafodelista"/>
        <w:numPr>
          <w:ilvl w:val="0"/>
          <w:numId w:val="14"/>
        </w:num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BC490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Conferencia e intercambio beneficiarios finales: María Jaraquemada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recibió invitación </w:t>
      </w:r>
      <w:r w:rsidRPr="00BC490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del 11 al 15 de septiembre a Estambul, a una reunión de todos los proyectos financiados por CIPE sobre beneficiario final como parte del proyecto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y explicar qué se ha hecho en Chile y los desafíos presentes</w:t>
      </w:r>
      <w:r w:rsidRPr="00BC490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 Todo está cubierto por el financista.</w:t>
      </w:r>
    </w:p>
    <w:p w14:paraId="1817F314" w14:textId="0F1F5BAA" w:rsidR="00BC4906" w:rsidRPr="00BC4906" w:rsidRDefault="00BC4906" w:rsidP="00BC4906">
      <w:pPr>
        <w:pStyle w:val="Prrafodelista"/>
        <w:numPr>
          <w:ilvl w:val="0"/>
          <w:numId w:val="14"/>
        </w:num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BC490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Reunión anual de Capítulos LAC de TI: María Jaraquemada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asistiría</w:t>
      </w:r>
      <w:r w:rsidRPr="00BC490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entre el 20 y 22 de septiembre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a esta reunión en</w:t>
      </w:r>
      <w:r w:rsidRPr="00BC490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Bogotá. El Capítulo venezolano cubre todo salvo el pasaje que iría con cargo al proyecto de SANCUS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 dado que se presentaría los resultados de la reunión regional sobre el tema.</w:t>
      </w:r>
      <w:r w:rsidRPr="00BC490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109FB2FC" w14:textId="671E3EAA" w:rsidR="00F83B3B" w:rsidRDefault="0033177F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El señor Ferrada propone que para mayor transparencia del Capítulo, con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posterioridad  a</w:t>
      </w:r>
      <w:proofErr w:type="gram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los viajes se publique un</w:t>
      </w:r>
      <w:r w:rsidR="00F83B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informe donde se </w:t>
      </w:r>
      <w:proofErr w:type="spellStart"/>
      <w:r w:rsidR="00F83B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</w:t>
      </w:r>
      <w:proofErr w:type="spellEnd"/>
      <w:r w:rsidR="00F83B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cuenta de las gestiones realizadas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. La señora Cuevas señala que se debe elevar la solicitud y luego aunar criterios. </w:t>
      </w:r>
      <w:r w:rsidR="009842C4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El señor D</w:t>
      </w:r>
      <w:r w:rsidR="00F83B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é</w:t>
      </w:r>
      <w:r w:rsidR="009842C4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lano cree que es posible establecer un cierto número de días hábiles para viajes. </w:t>
      </w:r>
    </w:p>
    <w:p w14:paraId="317447BC" w14:textId="797B7761" w:rsidR="0033177F" w:rsidRPr="00BC4906" w:rsidRDefault="009842C4" w:rsidP="00CF6488">
      <w:pPr>
        <w:jc w:val="both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BC4906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Se aprueban los tres viajes propuestos. </w:t>
      </w:r>
    </w:p>
    <w:p w14:paraId="78BE729E" w14:textId="539326C9" w:rsidR="005E2443" w:rsidRDefault="005641F8" w:rsidP="5DAF52B3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lastRenderedPageBreak/>
        <w:t>Por haberse cumplido el horario previsto</w:t>
      </w:r>
      <w:r w:rsidR="5D101B5E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, siendo las </w:t>
      </w:r>
      <w:r w:rsidR="00D81568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1</w:t>
      </w:r>
      <w:r w:rsidR="00CD28E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6</w:t>
      </w:r>
      <w:r w:rsidR="5D101B5E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:00 </w:t>
      </w:r>
      <w:proofErr w:type="spellStart"/>
      <w:r w:rsidR="5D101B5E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Hrs</w:t>
      </w:r>
      <w:proofErr w:type="spellEnd"/>
      <w:r w:rsidR="5D101B5E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., se pone término a la sesión</w:t>
      </w:r>
      <w:r w:rsidR="007E6E6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 y </w:t>
      </w:r>
      <w:r w:rsidR="007E6E69" w:rsidRPr="007E6E69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s-CL"/>
        </w:rPr>
        <w:t>se acuerda</w:t>
      </w:r>
      <w:r w:rsidR="007E6E6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 continuar con los temas pendientes en </w:t>
      </w:r>
      <w:r w:rsidR="00695778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l</w:t>
      </w:r>
      <w:r w:rsidR="007E6E6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a próxima sesión ordinaria.</w:t>
      </w:r>
    </w:p>
    <w:p w14:paraId="5E9269D2" w14:textId="05F691F3" w:rsidR="005E2443" w:rsidRDefault="5D101B5E" w:rsidP="5DAF52B3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De acuerdo al artículo decimotercero de los Estatutos, todos los Directores </w:t>
      </w:r>
      <w:r w:rsidR="00004314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presentes firman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 la presenta acta de acuerdos. </w:t>
      </w:r>
    </w:p>
    <w:p w14:paraId="296003B7" w14:textId="5C616642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1F9CD748" w14:textId="77777777" w:rsidR="008826F2" w:rsidRDefault="008826F2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3B696759" w14:textId="7342883F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7069F146" w14:textId="41438FB8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tbl>
      <w:tblPr>
        <w:tblStyle w:val="Tablaconcuadrcula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3540"/>
        <w:gridCol w:w="1125"/>
        <w:gridCol w:w="3825"/>
      </w:tblGrid>
      <w:tr w:rsidR="5DAF52B3" w14:paraId="62B7990D" w14:textId="77777777" w:rsidTr="5DAF52B3">
        <w:trPr>
          <w:trHeight w:val="1245"/>
        </w:trPr>
        <w:tc>
          <w:tcPr>
            <w:tcW w:w="354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0E3A30AB" w14:textId="3F0257D7" w:rsidR="7D24EB03" w:rsidRDefault="7D24EB0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5DAF52B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Anita </w:t>
            </w:r>
            <w:proofErr w:type="spellStart"/>
            <w:r w:rsidRPr="5DAF52B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Holuig</w:t>
            </w:r>
            <w:r w:rsidR="00687CB2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5DAF52B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e</w:t>
            </w:r>
            <w:proofErr w:type="spellEnd"/>
          </w:p>
          <w:p w14:paraId="2061DBC3" w14:textId="5662B863" w:rsidR="7D24EB03" w:rsidRDefault="00FA0787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Presidenta</w:t>
            </w:r>
            <w:r w:rsidR="7D24EB03" w:rsidRPr="5DAF52B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248B63A" w14:textId="450D5D9B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6568A3FE" w14:textId="77777777" w:rsidR="008826F2" w:rsidRDefault="008826F2" w:rsidP="008826F2">
            <w:pPr>
              <w:spacing w:line="276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Agnic</w:t>
            </w:r>
            <w:proofErr w:type="spellEnd"/>
          </w:p>
          <w:p w14:paraId="2B1DDB35" w14:textId="6505A83F" w:rsidR="5DAF52B3" w:rsidRDefault="008826F2" w:rsidP="008826F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Vicepresidenta</w:t>
            </w:r>
          </w:p>
        </w:tc>
      </w:tr>
    </w:tbl>
    <w:p w14:paraId="3A5FB289" w14:textId="6C7CDCA5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78C86138" w14:textId="331B6ABD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tbl>
      <w:tblPr>
        <w:tblStyle w:val="Tablaconcuadrcula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3540"/>
        <w:gridCol w:w="1125"/>
        <w:gridCol w:w="3825"/>
      </w:tblGrid>
      <w:tr w:rsidR="5DAF52B3" w14:paraId="6496E848" w14:textId="77777777" w:rsidTr="5DAF52B3">
        <w:tc>
          <w:tcPr>
            <w:tcW w:w="354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7AF54D84" w14:textId="77777777" w:rsidR="008826F2" w:rsidRDefault="008826F2" w:rsidP="008826F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5DAF52B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Carolina Cuevas</w:t>
            </w:r>
          </w:p>
          <w:p w14:paraId="786E2A3D" w14:textId="77777777" w:rsidR="15987440" w:rsidRDefault="008826F2" w:rsidP="008826F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5DAF52B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Tesorera</w:t>
            </w:r>
          </w:p>
          <w:p w14:paraId="5747BD40" w14:textId="499B9EE3" w:rsidR="008826F2" w:rsidRDefault="008826F2" w:rsidP="008826F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8951ED0" w14:textId="38113AAA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2EE71F66" w14:textId="77777777" w:rsidR="008826F2" w:rsidRDefault="008826F2" w:rsidP="008826F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5DAF52B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Raúl Ferrada</w:t>
            </w:r>
          </w:p>
          <w:p w14:paraId="73AC51E3" w14:textId="77777777" w:rsidR="008826F2" w:rsidRDefault="008826F2" w:rsidP="008826F2">
            <w:pPr>
              <w:spacing w:line="276" w:lineRule="auto"/>
              <w:jc w:val="center"/>
            </w:pPr>
            <w:r w:rsidRPr="5DAF52B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Secretario</w:t>
            </w:r>
          </w:p>
          <w:p w14:paraId="5E9E2033" w14:textId="330DE7C8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768724C1" w14:textId="3CC051B0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668CE3E" w14:textId="53E28408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6183900" w14:textId="6EFA6F7A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5DAF52B3" w14:paraId="7B01B117" w14:textId="77777777" w:rsidTr="005C6AAB">
        <w:trPr>
          <w:trHeight w:val="62"/>
        </w:trPr>
        <w:tc>
          <w:tcPr>
            <w:tcW w:w="354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6EA74A71" w14:textId="79522F66" w:rsidR="007E6E69" w:rsidRDefault="005C6AAB" w:rsidP="007E6E69">
            <w:pPr>
              <w:spacing w:line="276" w:lineRule="auto"/>
              <w:contextualSpacing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  <w:lang w:val="es-CL"/>
              </w:rPr>
              <w:t>Juan Carlos Délano</w:t>
            </w:r>
          </w:p>
          <w:p w14:paraId="17AA6027" w14:textId="22DFC4D1" w:rsidR="5DAF52B3" w:rsidRDefault="007E6E69" w:rsidP="007E6E69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5DAF52B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s-CL"/>
              </w:rPr>
              <w:t>Director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3D40118" w14:textId="6C1227BE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172BD733" w14:textId="0FE0A793" w:rsidR="1506FF8D" w:rsidRDefault="005C6AAB" w:rsidP="5DAF52B3">
            <w:pPr>
              <w:spacing w:line="276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Enrique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Rajevic</w:t>
            </w:r>
            <w:proofErr w:type="spellEnd"/>
          </w:p>
          <w:p w14:paraId="371B7669" w14:textId="46E9BF87" w:rsidR="1506FF8D" w:rsidRDefault="1506FF8D" w:rsidP="5DAF52B3">
            <w:pPr>
              <w:spacing w:line="276" w:lineRule="auto"/>
              <w:jc w:val="center"/>
            </w:pPr>
            <w:r w:rsidRPr="5DAF52B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Director</w:t>
            </w:r>
          </w:p>
        </w:tc>
      </w:tr>
    </w:tbl>
    <w:p w14:paraId="1FFCD66A" w14:textId="3AE23C73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1435E896" w14:textId="77777777" w:rsidR="00B22B8B" w:rsidRDefault="00B22B8B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3DB9A442" w14:textId="77777777" w:rsidR="003F44EA" w:rsidRDefault="003F44EA" w:rsidP="003F44EA">
      <w:pPr>
        <w:rPr>
          <w:rFonts w:ascii="Calibri Light" w:eastAsia="Calibri Light" w:hAnsi="Calibri Light" w:cs="Calibri Light"/>
          <w:color w:val="000000" w:themeColor="text1"/>
        </w:rPr>
      </w:pPr>
    </w:p>
    <w:p w14:paraId="5BEA3B4F" w14:textId="2F969E78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53B85C0B" w14:textId="7328900A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05244EBA" w14:textId="01B4B04D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50584ADB" w14:textId="6EBFEAAF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5D85D3B4" w14:textId="302BDF44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5C1A07E2" w14:textId="4A411451" w:rsidR="005E2443" w:rsidRDefault="005E2443" w:rsidP="5DAF52B3"/>
    <w:sectPr w:rsidR="005E24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FE2"/>
    <w:multiLevelType w:val="hybridMultilevel"/>
    <w:tmpl w:val="73FA9C84"/>
    <w:lvl w:ilvl="0" w:tplc="A3C078F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DB7"/>
    <w:multiLevelType w:val="hybridMultilevel"/>
    <w:tmpl w:val="C19E53E0"/>
    <w:lvl w:ilvl="0" w:tplc="385A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0B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AB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0F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88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0C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2D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A7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BAD"/>
    <w:multiLevelType w:val="hybridMultilevel"/>
    <w:tmpl w:val="312A60FC"/>
    <w:lvl w:ilvl="0" w:tplc="95F8F4A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F7645BC2">
      <w:start w:val="1"/>
      <w:numFmt w:val="lowerRoman"/>
      <w:lvlText w:val="%3."/>
      <w:lvlJc w:val="right"/>
      <w:pPr>
        <w:ind w:left="2160" w:hanging="180"/>
      </w:pPr>
    </w:lvl>
    <w:lvl w:ilvl="3" w:tplc="8612D4E2">
      <w:start w:val="1"/>
      <w:numFmt w:val="decimal"/>
      <w:lvlText w:val="%4."/>
      <w:lvlJc w:val="left"/>
      <w:pPr>
        <w:ind w:left="2880" w:hanging="360"/>
      </w:pPr>
    </w:lvl>
    <w:lvl w:ilvl="4" w:tplc="69DED14E">
      <w:start w:val="1"/>
      <w:numFmt w:val="lowerLetter"/>
      <w:lvlText w:val="%5."/>
      <w:lvlJc w:val="left"/>
      <w:pPr>
        <w:ind w:left="3600" w:hanging="360"/>
      </w:pPr>
    </w:lvl>
    <w:lvl w:ilvl="5" w:tplc="537AC1BE">
      <w:start w:val="1"/>
      <w:numFmt w:val="lowerRoman"/>
      <w:lvlText w:val="%6."/>
      <w:lvlJc w:val="right"/>
      <w:pPr>
        <w:ind w:left="4320" w:hanging="180"/>
      </w:pPr>
    </w:lvl>
    <w:lvl w:ilvl="6" w:tplc="36A4A98C">
      <w:start w:val="1"/>
      <w:numFmt w:val="decimal"/>
      <w:lvlText w:val="%7."/>
      <w:lvlJc w:val="left"/>
      <w:pPr>
        <w:ind w:left="5040" w:hanging="360"/>
      </w:pPr>
    </w:lvl>
    <w:lvl w:ilvl="7" w:tplc="0234DC76">
      <w:start w:val="1"/>
      <w:numFmt w:val="lowerLetter"/>
      <w:lvlText w:val="%8."/>
      <w:lvlJc w:val="left"/>
      <w:pPr>
        <w:ind w:left="5760" w:hanging="360"/>
      </w:pPr>
    </w:lvl>
    <w:lvl w:ilvl="8" w:tplc="3FCE37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22C9"/>
    <w:multiLevelType w:val="hybridMultilevel"/>
    <w:tmpl w:val="1332EBCA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01A8B"/>
    <w:multiLevelType w:val="hybridMultilevel"/>
    <w:tmpl w:val="D03AE75C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A178F"/>
    <w:multiLevelType w:val="hybridMultilevel"/>
    <w:tmpl w:val="D2CA3674"/>
    <w:lvl w:ilvl="0" w:tplc="A80AF4DA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26760"/>
    <w:multiLevelType w:val="hybridMultilevel"/>
    <w:tmpl w:val="418A9668"/>
    <w:lvl w:ilvl="0" w:tplc="916A2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85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CA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CB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69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2C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0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4C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3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73DBE"/>
    <w:multiLevelType w:val="hybridMultilevel"/>
    <w:tmpl w:val="1332EBCA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D3863"/>
    <w:multiLevelType w:val="hybridMultilevel"/>
    <w:tmpl w:val="3A728D3A"/>
    <w:lvl w:ilvl="0" w:tplc="485678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36875"/>
    <w:multiLevelType w:val="hybridMultilevel"/>
    <w:tmpl w:val="1CAC6E44"/>
    <w:lvl w:ilvl="0" w:tplc="AC0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ED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87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2B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44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87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8C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D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C5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F24DC7"/>
    <w:multiLevelType w:val="hybridMultilevel"/>
    <w:tmpl w:val="F372192C"/>
    <w:lvl w:ilvl="0" w:tplc="A47A7334">
      <w:start w:val="10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31893"/>
    <w:multiLevelType w:val="hybridMultilevel"/>
    <w:tmpl w:val="D4320EEA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6681A"/>
    <w:multiLevelType w:val="hybridMultilevel"/>
    <w:tmpl w:val="E4B6A732"/>
    <w:lvl w:ilvl="0" w:tplc="8612D4E2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E0588"/>
    <w:multiLevelType w:val="hybridMultilevel"/>
    <w:tmpl w:val="1CAC6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2924229">
    <w:abstractNumId w:val="2"/>
  </w:num>
  <w:num w:numId="2" w16cid:durableId="1657805552">
    <w:abstractNumId w:val="8"/>
  </w:num>
  <w:num w:numId="3" w16cid:durableId="800852270">
    <w:abstractNumId w:val="5"/>
  </w:num>
  <w:num w:numId="4" w16cid:durableId="975373263">
    <w:abstractNumId w:val="0"/>
  </w:num>
  <w:num w:numId="5" w16cid:durableId="1366447033">
    <w:abstractNumId w:val="1"/>
  </w:num>
  <w:num w:numId="6" w16cid:durableId="2020112122">
    <w:abstractNumId w:val="6"/>
  </w:num>
  <w:num w:numId="7" w16cid:durableId="917638306">
    <w:abstractNumId w:val="3"/>
  </w:num>
  <w:num w:numId="8" w16cid:durableId="392889894">
    <w:abstractNumId w:val="12"/>
  </w:num>
  <w:num w:numId="9" w16cid:durableId="1418357617">
    <w:abstractNumId w:val="7"/>
  </w:num>
  <w:num w:numId="10" w16cid:durableId="2069450266">
    <w:abstractNumId w:val="9"/>
  </w:num>
  <w:num w:numId="11" w16cid:durableId="1884363692">
    <w:abstractNumId w:val="13"/>
  </w:num>
  <w:num w:numId="12" w16cid:durableId="11542269">
    <w:abstractNumId w:val="11"/>
  </w:num>
  <w:num w:numId="13" w16cid:durableId="194662229">
    <w:abstractNumId w:val="4"/>
  </w:num>
  <w:num w:numId="14" w16cid:durableId="5087213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D06093"/>
    <w:rsid w:val="00004314"/>
    <w:rsid w:val="0001205F"/>
    <w:rsid w:val="00016875"/>
    <w:rsid w:val="00020B7D"/>
    <w:rsid w:val="0002780B"/>
    <w:rsid w:val="000462B4"/>
    <w:rsid w:val="00055F38"/>
    <w:rsid w:val="00062D03"/>
    <w:rsid w:val="00064729"/>
    <w:rsid w:val="00065F5F"/>
    <w:rsid w:val="00072B91"/>
    <w:rsid w:val="00077099"/>
    <w:rsid w:val="00080C41"/>
    <w:rsid w:val="00094BD8"/>
    <w:rsid w:val="000A3E82"/>
    <w:rsid w:val="000A497A"/>
    <w:rsid w:val="000B5FC6"/>
    <w:rsid w:val="000C44F7"/>
    <w:rsid w:val="000E053B"/>
    <w:rsid w:val="000E4EDF"/>
    <w:rsid w:val="000E722C"/>
    <w:rsid w:val="000F0268"/>
    <w:rsid w:val="000F4386"/>
    <w:rsid w:val="00103C91"/>
    <w:rsid w:val="001339B2"/>
    <w:rsid w:val="00141C0A"/>
    <w:rsid w:val="0017317E"/>
    <w:rsid w:val="00176D8A"/>
    <w:rsid w:val="001A0D4F"/>
    <w:rsid w:val="001B1530"/>
    <w:rsid w:val="001F25EE"/>
    <w:rsid w:val="00217E1E"/>
    <w:rsid w:val="00233E23"/>
    <w:rsid w:val="00246BAC"/>
    <w:rsid w:val="00253A09"/>
    <w:rsid w:val="002631B5"/>
    <w:rsid w:val="00264AB5"/>
    <w:rsid w:val="002673AD"/>
    <w:rsid w:val="0027045A"/>
    <w:rsid w:val="00281BCC"/>
    <w:rsid w:val="002A5A60"/>
    <w:rsid w:val="002B333B"/>
    <w:rsid w:val="002C01A8"/>
    <w:rsid w:val="002C198F"/>
    <w:rsid w:val="002C78B9"/>
    <w:rsid w:val="002D4500"/>
    <w:rsid w:val="002D587B"/>
    <w:rsid w:val="002F0834"/>
    <w:rsid w:val="00317235"/>
    <w:rsid w:val="0033177F"/>
    <w:rsid w:val="00334E16"/>
    <w:rsid w:val="003514D6"/>
    <w:rsid w:val="00362D0A"/>
    <w:rsid w:val="00363334"/>
    <w:rsid w:val="00371F18"/>
    <w:rsid w:val="003777D5"/>
    <w:rsid w:val="00383EBB"/>
    <w:rsid w:val="0038673F"/>
    <w:rsid w:val="003868CC"/>
    <w:rsid w:val="003B4473"/>
    <w:rsid w:val="003F2770"/>
    <w:rsid w:val="003F44EA"/>
    <w:rsid w:val="00401C1B"/>
    <w:rsid w:val="0042348D"/>
    <w:rsid w:val="00423876"/>
    <w:rsid w:val="00425368"/>
    <w:rsid w:val="00447BD2"/>
    <w:rsid w:val="00457AF4"/>
    <w:rsid w:val="00463C82"/>
    <w:rsid w:val="00473BB5"/>
    <w:rsid w:val="00477667"/>
    <w:rsid w:val="004918D6"/>
    <w:rsid w:val="00493A36"/>
    <w:rsid w:val="004A27C8"/>
    <w:rsid w:val="004A56F5"/>
    <w:rsid w:val="004D5717"/>
    <w:rsid w:val="004F7F49"/>
    <w:rsid w:val="005172B1"/>
    <w:rsid w:val="00547883"/>
    <w:rsid w:val="005641F8"/>
    <w:rsid w:val="00567742"/>
    <w:rsid w:val="005715B7"/>
    <w:rsid w:val="00576475"/>
    <w:rsid w:val="00583E7E"/>
    <w:rsid w:val="005931D8"/>
    <w:rsid w:val="00594718"/>
    <w:rsid w:val="005A160E"/>
    <w:rsid w:val="005A3F6D"/>
    <w:rsid w:val="005A6183"/>
    <w:rsid w:val="005B1326"/>
    <w:rsid w:val="005B7E6E"/>
    <w:rsid w:val="005C6AAB"/>
    <w:rsid w:val="005E2443"/>
    <w:rsid w:val="005F51E0"/>
    <w:rsid w:val="005F5BA8"/>
    <w:rsid w:val="00601C3D"/>
    <w:rsid w:val="00601ED9"/>
    <w:rsid w:val="00603E7B"/>
    <w:rsid w:val="0061442B"/>
    <w:rsid w:val="0063015D"/>
    <w:rsid w:val="006335AB"/>
    <w:rsid w:val="00636306"/>
    <w:rsid w:val="00637788"/>
    <w:rsid w:val="00647B31"/>
    <w:rsid w:val="00664262"/>
    <w:rsid w:val="0066457C"/>
    <w:rsid w:val="00681CCB"/>
    <w:rsid w:val="00687CB2"/>
    <w:rsid w:val="00695778"/>
    <w:rsid w:val="006A519B"/>
    <w:rsid w:val="006B5D52"/>
    <w:rsid w:val="006C6E8B"/>
    <w:rsid w:val="006E52D0"/>
    <w:rsid w:val="00717602"/>
    <w:rsid w:val="00720A73"/>
    <w:rsid w:val="00724961"/>
    <w:rsid w:val="007270CA"/>
    <w:rsid w:val="00735AF6"/>
    <w:rsid w:val="00736E1C"/>
    <w:rsid w:val="00746F4D"/>
    <w:rsid w:val="00750231"/>
    <w:rsid w:val="00751DAD"/>
    <w:rsid w:val="00753BF8"/>
    <w:rsid w:val="007700A5"/>
    <w:rsid w:val="00786901"/>
    <w:rsid w:val="007A43B1"/>
    <w:rsid w:val="007A4F94"/>
    <w:rsid w:val="007B783C"/>
    <w:rsid w:val="007D2248"/>
    <w:rsid w:val="007E0572"/>
    <w:rsid w:val="007E26C8"/>
    <w:rsid w:val="007E6E69"/>
    <w:rsid w:val="007F5F61"/>
    <w:rsid w:val="00806371"/>
    <w:rsid w:val="0083035A"/>
    <w:rsid w:val="00831E4E"/>
    <w:rsid w:val="00841717"/>
    <w:rsid w:val="00844421"/>
    <w:rsid w:val="0084652B"/>
    <w:rsid w:val="008546C4"/>
    <w:rsid w:val="00855CF1"/>
    <w:rsid w:val="00857DF1"/>
    <w:rsid w:val="008655A7"/>
    <w:rsid w:val="008814C8"/>
    <w:rsid w:val="008826F2"/>
    <w:rsid w:val="00887973"/>
    <w:rsid w:val="008A2E77"/>
    <w:rsid w:val="008A5710"/>
    <w:rsid w:val="008E1BF9"/>
    <w:rsid w:val="008E5C63"/>
    <w:rsid w:val="00901636"/>
    <w:rsid w:val="00903BE0"/>
    <w:rsid w:val="00907D36"/>
    <w:rsid w:val="00943D3C"/>
    <w:rsid w:val="009515D9"/>
    <w:rsid w:val="00952B1C"/>
    <w:rsid w:val="00952E22"/>
    <w:rsid w:val="009566B2"/>
    <w:rsid w:val="009718E7"/>
    <w:rsid w:val="00976C7C"/>
    <w:rsid w:val="009842C4"/>
    <w:rsid w:val="009856F6"/>
    <w:rsid w:val="0099682C"/>
    <w:rsid w:val="009C2AA2"/>
    <w:rsid w:val="009D0B6C"/>
    <w:rsid w:val="009D3CA2"/>
    <w:rsid w:val="009D5BF1"/>
    <w:rsid w:val="009E1E5A"/>
    <w:rsid w:val="009E7409"/>
    <w:rsid w:val="009F5C23"/>
    <w:rsid w:val="00A1090E"/>
    <w:rsid w:val="00A15009"/>
    <w:rsid w:val="00A156D8"/>
    <w:rsid w:val="00A34158"/>
    <w:rsid w:val="00A41554"/>
    <w:rsid w:val="00A43A20"/>
    <w:rsid w:val="00A7116E"/>
    <w:rsid w:val="00A75060"/>
    <w:rsid w:val="00A81A6D"/>
    <w:rsid w:val="00A84094"/>
    <w:rsid w:val="00A86AEC"/>
    <w:rsid w:val="00A91D67"/>
    <w:rsid w:val="00AA115F"/>
    <w:rsid w:val="00AA53A0"/>
    <w:rsid w:val="00AB4CC2"/>
    <w:rsid w:val="00AB556A"/>
    <w:rsid w:val="00AB5C72"/>
    <w:rsid w:val="00AD1686"/>
    <w:rsid w:val="00AD30FA"/>
    <w:rsid w:val="00AE46A3"/>
    <w:rsid w:val="00AE612C"/>
    <w:rsid w:val="00B01D1D"/>
    <w:rsid w:val="00B17714"/>
    <w:rsid w:val="00B22B8B"/>
    <w:rsid w:val="00B30C0C"/>
    <w:rsid w:val="00B42138"/>
    <w:rsid w:val="00B56CC1"/>
    <w:rsid w:val="00B56E42"/>
    <w:rsid w:val="00B57875"/>
    <w:rsid w:val="00B64EEC"/>
    <w:rsid w:val="00B668E6"/>
    <w:rsid w:val="00B73C1F"/>
    <w:rsid w:val="00B77C06"/>
    <w:rsid w:val="00B80A22"/>
    <w:rsid w:val="00B84F1C"/>
    <w:rsid w:val="00BA60AB"/>
    <w:rsid w:val="00BC138D"/>
    <w:rsid w:val="00BC4906"/>
    <w:rsid w:val="00BC5CE7"/>
    <w:rsid w:val="00BC6A60"/>
    <w:rsid w:val="00BD1E76"/>
    <w:rsid w:val="00BD2683"/>
    <w:rsid w:val="00BF11DE"/>
    <w:rsid w:val="00C0532C"/>
    <w:rsid w:val="00C15FB1"/>
    <w:rsid w:val="00C24BED"/>
    <w:rsid w:val="00C25827"/>
    <w:rsid w:val="00C26F32"/>
    <w:rsid w:val="00C32274"/>
    <w:rsid w:val="00C32DA9"/>
    <w:rsid w:val="00C4254C"/>
    <w:rsid w:val="00C558D0"/>
    <w:rsid w:val="00C645AE"/>
    <w:rsid w:val="00C77D28"/>
    <w:rsid w:val="00C807C1"/>
    <w:rsid w:val="00C81CFB"/>
    <w:rsid w:val="00C95667"/>
    <w:rsid w:val="00CB102B"/>
    <w:rsid w:val="00CB3276"/>
    <w:rsid w:val="00CC32B1"/>
    <w:rsid w:val="00CC6BA3"/>
    <w:rsid w:val="00CD28E9"/>
    <w:rsid w:val="00CD28EC"/>
    <w:rsid w:val="00CE6AC5"/>
    <w:rsid w:val="00CF6488"/>
    <w:rsid w:val="00D01828"/>
    <w:rsid w:val="00D06F36"/>
    <w:rsid w:val="00D13451"/>
    <w:rsid w:val="00D257EE"/>
    <w:rsid w:val="00D26B0B"/>
    <w:rsid w:val="00D26E15"/>
    <w:rsid w:val="00D4155A"/>
    <w:rsid w:val="00D430AA"/>
    <w:rsid w:val="00D45057"/>
    <w:rsid w:val="00D45E24"/>
    <w:rsid w:val="00D532ED"/>
    <w:rsid w:val="00D568AF"/>
    <w:rsid w:val="00D61297"/>
    <w:rsid w:val="00D62603"/>
    <w:rsid w:val="00D64807"/>
    <w:rsid w:val="00D749D4"/>
    <w:rsid w:val="00D81568"/>
    <w:rsid w:val="00DC3841"/>
    <w:rsid w:val="00DF0BBE"/>
    <w:rsid w:val="00DF7663"/>
    <w:rsid w:val="00E03456"/>
    <w:rsid w:val="00E04F4E"/>
    <w:rsid w:val="00E17CF9"/>
    <w:rsid w:val="00E258DA"/>
    <w:rsid w:val="00E50642"/>
    <w:rsid w:val="00E54B06"/>
    <w:rsid w:val="00E76567"/>
    <w:rsid w:val="00E81000"/>
    <w:rsid w:val="00E84809"/>
    <w:rsid w:val="00EA324A"/>
    <w:rsid w:val="00EA3B7D"/>
    <w:rsid w:val="00EB538A"/>
    <w:rsid w:val="00EB6CCC"/>
    <w:rsid w:val="00EE3A3A"/>
    <w:rsid w:val="00EE7D3D"/>
    <w:rsid w:val="00F06B59"/>
    <w:rsid w:val="00F11DED"/>
    <w:rsid w:val="00F14371"/>
    <w:rsid w:val="00F17A01"/>
    <w:rsid w:val="00F223C9"/>
    <w:rsid w:val="00F2288F"/>
    <w:rsid w:val="00F27E3C"/>
    <w:rsid w:val="00F31BC7"/>
    <w:rsid w:val="00F35617"/>
    <w:rsid w:val="00F45004"/>
    <w:rsid w:val="00F56835"/>
    <w:rsid w:val="00F67291"/>
    <w:rsid w:val="00F803D6"/>
    <w:rsid w:val="00F83B3B"/>
    <w:rsid w:val="00F8534E"/>
    <w:rsid w:val="00F871D1"/>
    <w:rsid w:val="00F94977"/>
    <w:rsid w:val="00F96A32"/>
    <w:rsid w:val="00FA0787"/>
    <w:rsid w:val="00FA346A"/>
    <w:rsid w:val="00FB25E2"/>
    <w:rsid w:val="00FB3B7A"/>
    <w:rsid w:val="00FB3EFA"/>
    <w:rsid w:val="00FB46B8"/>
    <w:rsid w:val="00FC3B87"/>
    <w:rsid w:val="00FC4724"/>
    <w:rsid w:val="00FC7726"/>
    <w:rsid w:val="00FD2973"/>
    <w:rsid w:val="00FD3D7E"/>
    <w:rsid w:val="00FD6C7C"/>
    <w:rsid w:val="0389A601"/>
    <w:rsid w:val="0753743D"/>
    <w:rsid w:val="085D1724"/>
    <w:rsid w:val="0B22E761"/>
    <w:rsid w:val="0C1D128B"/>
    <w:rsid w:val="0DB06516"/>
    <w:rsid w:val="0ED34828"/>
    <w:rsid w:val="0F1C708D"/>
    <w:rsid w:val="11FF76CD"/>
    <w:rsid w:val="1506FF8D"/>
    <w:rsid w:val="15987440"/>
    <w:rsid w:val="15F700E4"/>
    <w:rsid w:val="1D17A3C0"/>
    <w:rsid w:val="1DD2786B"/>
    <w:rsid w:val="2522B5A5"/>
    <w:rsid w:val="26D083B5"/>
    <w:rsid w:val="29F1AB8A"/>
    <w:rsid w:val="2F22925E"/>
    <w:rsid w:val="2FF6CE97"/>
    <w:rsid w:val="34D06093"/>
    <w:rsid w:val="37AFDE55"/>
    <w:rsid w:val="37CD11E0"/>
    <w:rsid w:val="3E3C5364"/>
    <w:rsid w:val="3FD823C5"/>
    <w:rsid w:val="44DF937A"/>
    <w:rsid w:val="46A3B411"/>
    <w:rsid w:val="471196F5"/>
    <w:rsid w:val="47E90354"/>
    <w:rsid w:val="4986F391"/>
    <w:rsid w:val="4A59A0A1"/>
    <w:rsid w:val="4AC12E79"/>
    <w:rsid w:val="4BF57102"/>
    <w:rsid w:val="4F2D11C4"/>
    <w:rsid w:val="540082E7"/>
    <w:rsid w:val="5419E445"/>
    <w:rsid w:val="57CA5123"/>
    <w:rsid w:val="59C127FF"/>
    <w:rsid w:val="5D101B5E"/>
    <w:rsid w:val="5DAF52B3"/>
    <w:rsid w:val="64E62FF4"/>
    <w:rsid w:val="675634F9"/>
    <w:rsid w:val="6DEE5C98"/>
    <w:rsid w:val="72EB5CAF"/>
    <w:rsid w:val="73FDC22A"/>
    <w:rsid w:val="78D1334D"/>
    <w:rsid w:val="7C26A189"/>
    <w:rsid w:val="7D24EB03"/>
    <w:rsid w:val="7E8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6093"/>
  <w15:chartTrackingRefBased/>
  <w15:docId w15:val="{6817412B-810C-4FDF-8C5C-69AB6F72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n">
    <w:name w:val="Revision"/>
    <w:hidden/>
    <w:uiPriority w:val="99"/>
    <w:semiHidden/>
    <w:rsid w:val="0083035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956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56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56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56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5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1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6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1573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Jaraquemada (TI CL)</dc:creator>
  <cp:keywords/>
  <dc:description/>
  <cp:lastModifiedBy>maria jaraquemada</cp:lastModifiedBy>
  <cp:revision>4</cp:revision>
  <dcterms:created xsi:type="dcterms:W3CDTF">2023-08-10T18:40:00Z</dcterms:created>
  <dcterms:modified xsi:type="dcterms:W3CDTF">2023-09-27T20:10:00Z</dcterms:modified>
</cp:coreProperties>
</file>